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CA789" w14:textId="77777777" w:rsidR="00AB5A9F" w:rsidRPr="00F61DCD" w:rsidRDefault="00AB5A9F" w:rsidP="0077778E">
      <w:pPr>
        <w:pStyle w:val="Texte"/>
        <w:rPr>
          <w:color w:val="FF0000"/>
          <w:sz w:val="22"/>
          <w:szCs w:val="22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</w:p>
    <w:p w14:paraId="678B71CE" w14:textId="3AE96822" w:rsidR="00272FED" w:rsidRPr="00F61DCD" w:rsidRDefault="00272FED" w:rsidP="00F61DCD">
      <w:pPr>
        <w:pStyle w:val="Texte"/>
        <w:spacing w:before="240" w:after="240"/>
        <w:rPr>
          <w:rFonts w:ascii="Helvetica 75 Bold" w:hAnsi="Helvetica 75 Bold"/>
          <w:color w:val="FF0000"/>
          <w:sz w:val="56"/>
          <w:szCs w:val="56"/>
        </w:rPr>
      </w:pPr>
      <w:r w:rsidRPr="00F61DCD">
        <w:rPr>
          <w:rFonts w:ascii="Helvetica 75 Bold" w:hAnsi="Helvetica 75 Bold"/>
          <w:color w:val="FF00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678B71CF" w14:textId="77777777" w:rsidR="000E79C9" w:rsidRPr="00F61DCD" w:rsidRDefault="00CD1A47" w:rsidP="00EB4DAE">
      <w:pPr>
        <w:rPr>
          <w:b/>
          <w:bCs/>
          <w:sz w:val="36"/>
          <w:szCs w:val="36"/>
        </w:rPr>
      </w:pPr>
      <w:r w:rsidRPr="00F61DCD">
        <w:rPr>
          <w:b/>
          <w:bCs/>
          <w:sz w:val="36"/>
          <w:szCs w:val="36"/>
        </w:rPr>
        <w:t xml:space="preserve">Offre </w:t>
      </w:r>
      <w:r w:rsidR="000E79C9" w:rsidRPr="00F61DCD">
        <w:rPr>
          <w:b/>
          <w:bCs/>
          <w:sz w:val="36"/>
          <w:szCs w:val="36"/>
        </w:rPr>
        <w:t>FTTE passif</w:t>
      </w:r>
      <w:r w:rsidR="000E79C9" w:rsidRPr="00F61DCD">
        <w:rPr>
          <w:rFonts w:cs="Calibri"/>
          <w:b/>
          <w:bCs/>
          <w:sz w:val="36"/>
          <w:szCs w:val="36"/>
        </w:rPr>
        <w:t xml:space="preserve"> </w:t>
      </w:r>
      <w:r w:rsidR="00E44184" w:rsidRPr="00F61DCD">
        <w:rPr>
          <w:rFonts w:cs="Calibri"/>
          <w:b/>
          <w:bCs/>
          <w:sz w:val="36"/>
          <w:szCs w:val="36"/>
        </w:rPr>
        <w:t>PM</w:t>
      </w:r>
      <w:r w:rsidR="00DD763C" w:rsidRPr="00F61DCD">
        <w:rPr>
          <w:rFonts w:cs="Calibri"/>
          <w:b/>
          <w:bCs/>
          <w:sz w:val="36"/>
          <w:szCs w:val="36"/>
        </w:rPr>
        <w:t xml:space="preserve"> de </w:t>
      </w:r>
      <w:r w:rsidR="009E6A0D" w:rsidRPr="00F61DCD">
        <w:rPr>
          <w:rFonts w:cs="Calibri"/>
          <w:b/>
          <w:bCs/>
          <w:sz w:val="36"/>
          <w:szCs w:val="36"/>
        </w:rPr>
        <w:t>GRAND DAX TRÈS HAUT DÉBIT</w:t>
      </w:r>
    </w:p>
    <w:p w14:paraId="678B71D0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678B71D1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678B71D2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678B71D3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678B71D4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9E6A0D">
        <w:rPr>
          <w:rFonts w:cs="Arial"/>
          <w:szCs w:val="20"/>
        </w:rPr>
        <w:t>GRAND DAX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678B71D5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9E6A0D">
        <w:rPr>
          <w:rFonts w:cs="Arial"/>
          <w:szCs w:val="20"/>
        </w:rPr>
        <w:t>GRAND DAX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678B71D6" w14:textId="77777777" w:rsidR="001A7064" w:rsidRPr="0028511F" w:rsidRDefault="001A7064" w:rsidP="001A7064">
      <w:pPr>
        <w:pStyle w:val="Texte"/>
      </w:pPr>
    </w:p>
    <w:p w14:paraId="678B71D7" w14:textId="4022D808" w:rsidR="001A7064" w:rsidRPr="009E6A0D" w:rsidRDefault="001A7064" w:rsidP="00F61DCD">
      <w:pPr>
        <w:pStyle w:val="Titre"/>
      </w:pPr>
      <w:r w:rsidRPr="009E6A0D">
        <w:t xml:space="preserve">pénalités pouvant être dues </w:t>
      </w:r>
      <w:r w:rsidR="00314DF4" w:rsidRPr="009E6A0D">
        <w:t xml:space="preserve">par </w:t>
      </w:r>
      <w:r w:rsidR="009E6A0D" w:rsidRPr="009E6A0D">
        <w:t>GRAND DAX TRÈS HAUT DÉBIT</w:t>
      </w:r>
    </w:p>
    <w:p w14:paraId="678B71D9" w14:textId="19CB8037" w:rsidR="00897127" w:rsidRDefault="001A7064" w:rsidP="00F61DCD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9E6A0D">
        <w:t>GRAND DAX TRÈS HAUT DÉBIT</w:t>
      </w:r>
      <w:r w:rsidR="00EE0ADC">
        <w:t xml:space="preserve"> </w:t>
      </w:r>
      <w:r w:rsidRPr="00B0235B">
        <w:t>de la qualité de service</w:t>
      </w:r>
    </w:p>
    <w:p w14:paraId="678B71DA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9E6A0D">
        <w:rPr>
          <w:rFonts w:cs="Helvetica55Roman,Italic"/>
          <w:iCs/>
        </w:rPr>
        <w:t>GRAND DAX TRÈS HAUT DÉBIT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678B71DB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678B71DC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678B71DD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678B71DE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678B71DF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678B71E0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678B71E1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678B71E2" w14:textId="77777777" w:rsidR="0004645F" w:rsidRDefault="0004645F" w:rsidP="00243F88">
      <w:pPr>
        <w:pStyle w:val="Texte"/>
      </w:pPr>
      <w:r>
        <w:lastRenderedPageBreak/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678B71E3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9E6A0D">
        <w:t>GRAND DAX TRÈS HAUT DÉBIT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678B71E4" w14:textId="77777777"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678B71E5" w14:textId="77777777" w:rsidR="00B707F2" w:rsidRPr="0004645F" w:rsidRDefault="00B707F2" w:rsidP="0004645F">
      <w:pPr>
        <w:pStyle w:val="Texte"/>
      </w:pPr>
    </w:p>
    <w:p w14:paraId="678B71E8" w14:textId="0ECA5209" w:rsidR="002B22EF" w:rsidRPr="00F61DCD" w:rsidRDefault="001A7064" w:rsidP="001A7064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678B71EC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678B71E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678B71EA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678B71E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678B71F1" w14:textId="77777777" w:rsidTr="005A167F">
        <w:tc>
          <w:tcPr>
            <w:tcW w:w="4966" w:type="dxa"/>
            <w:shd w:val="clear" w:color="auto" w:fill="auto"/>
          </w:tcPr>
          <w:p w14:paraId="678B71ED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678B71EE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78B71EF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78B71F0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678B71F6" w14:textId="77777777" w:rsidTr="005A167F">
        <w:tc>
          <w:tcPr>
            <w:tcW w:w="4966" w:type="dxa"/>
            <w:shd w:val="clear" w:color="auto" w:fill="auto"/>
            <w:vAlign w:val="center"/>
          </w:tcPr>
          <w:p w14:paraId="678B71F2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678B71F3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78B71F4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78B71F5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678B71FB" w14:textId="77777777" w:rsidTr="005A167F">
        <w:tc>
          <w:tcPr>
            <w:tcW w:w="4966" w:type="dxa"/>
            <w:shd w:val="clear" w:color="auto" w:fill="auto"/>
            <w:vAlign w:val="center"/>
          </w:tcPr>
          <w:p w14:paraId="678B71F7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678B71F8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78B71F9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78B71FA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678B71FC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78B71FD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678B7201" w14:textId="77777777" w:rsidTr="00142F19">
        <w:tc>
          <w:tcPr>
            <w:tcW w:w="4876" w:type="dxa"/>
            <w:shd w:val="clear" w:color="auto" w:fill="auto"/>
          </w:tcPr>
          <w:p w14:paraId="678B71FE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678B71FF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678B720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678B7208" w14:textId="77777777" w:rsidTr="00142F19">
        <w:tc>
          <w:tcPr>
            <w:tcW w:w="4876" w:type="dxa"/>
            <w:shd w:val="clear" w:color="auto" w:fill="auto"/>
          </w:tcPr>
          <w:p w14:paraId="678B720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78B7203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78B7204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78B7205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678B7206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678B7207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678B720F" w14:textId="77777777" w:rsidTr="00142F19">
        <w:tc>
          <w:tcPr>
            <w:tcW w:w="4876" w:type="dxa"/>
            <w:shd w:val="clear" w:color="auto" w:fill="auto"/>
          </w:tcPr>
          <w:p w14:paraId="678B720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78B720A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78B720B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78B720C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678B720D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78B720E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678B7215" w14:textId="77777777" w:rsidTr="00142F19">
        <w:tc>
          <w:tcPr>
            <w:tcW w:w="4876" w:type="dxa"/>
            <w:shd w:val="clear" w:color="auto" w:fill="auto"/>
          </w:tcPr>
          <w:p w14:paraId="678B721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78B7211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78B7212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678B7213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78B7214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678B7216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78B7217" w14:textId="77777777" w:rsidR="006D0991" w:rsidRDefault="006D0991" w:rsidP="006D0991"/>
    <w:p w14:paraId="678B721A" w14:textId="08E771AF" w:rsidR="006D0991" w:rsidRPr="00F61DCD" w:rsidRDefault="001A7064" w:rsidP="006D0991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678B721E" w14:textId="77777777" w:rsidTr="00142F19">
        <w:tc>
          <w:tcPr>
            <w:tcW w:w="4799" w:type="dxa"/>
            <w:shd w:val="clear" w:color="auto" w:fill="auto"/>
          </w:tcPr>
          <w:p w14:paraId="678B721B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678B721C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678B721D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678B7223" w14:textId="77777777" w:rsidTr="00142F19">
        <w:tc>
          <w:tcPr>
            <w:tcW w:w="4799" w:type="dxa"/>
            <w:shd w:val="clear" w:color="auto" w:fill="auto"/>
          </w:tcPr>
          <w:p w14:paraId="678B721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78B722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78B7221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78B7222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678B7228" w14:textId="77777777" w:rsidTr="00142F19">
        <w:tc>
          <w:tcPr>
            <w:tcW w:w="4799" w:type="dxa"/>
            <w:shd w:val="clear" w:color="auto" w:fill="auto"/>
          </w:tcPr>
          <w:p w14:paraId="678B722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78B722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78B7226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78B7227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678B722D" w14:textId="77777777" w:rsidTr="00142F19">
        <w:tc>
          <w:tcPr>
            <w:tcW w:w="4799" w:type="dxa"/>
            <w:shd w:val="clear" w:color="auto" w:fill="auto"/>
          </w:tcPr>
          <w:p w14:paraId="678B722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78B722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78B722B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78B722C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678B7232" w14:textId="77777777" w:rsidTr="00142F19">
        <w:tc>
          <w:tcPr>
            <w:tcW w:w="4799" w:type="dxa"/>
            <w:shd w:val="clear" w:color="auto" w:fill="auto"/>
          </w:tcPr>
          <w:p w14:paraId="678B722E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78B722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78B7230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78B7231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678B7233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678B7234" w14:textId="0ECAF948" w:rsidR="001A7064" w:rsidRPr="00562831" w:rsidRDefault="009550D1" w:rsidP="00F61DCD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9E6A0D">
        <w:t>GRAND DAX TRÈS HAUT DÉBIT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678B7235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678B7239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678B7236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678B7237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678B7238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678B723D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678B723A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9E6A0D">
              <w:t>GRAND DAX TRÈS HAUT DÉBIT</w:t>
            </w:r>
          </w:p>
        </w:tc>
        <w:tc>
          <w:tcPr>
            <w:tcW w:w="2160" w:type="dxa"/>
            <w:shd w:val="clear" w:color="auto" w:fill="auto"/>
          </w:tcPr>
          <w:p w14:paraId="678B723B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678B723C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678B723E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678B723F" w14:textId="77777777" w:rsidR="00DA5D00" w:rsidRDefault="00DA5D00" w:rsidP="005A167F"/>
    <w:p w14:paraId="678B7240" w14:textId="77777777" w:rsidR="00DA5D00" w:rsidRPr="00246A1F" w:rsidRDefault="00DA5D00" w:rsidP="00DA5D00">
      <w:pPr>
        <w:ind w:left="360"/>
      </w:pPr>
      <w:r>
        <w:t xml:space="preserve"> </w:t>
      </w:r>
    </w:p>
    <w:p w14:paraId="678B7241" w14:textId="033120FB" w:rsidR="004E4EA8" w:rsidRPr="00686ACA" w:rsidRDefault="004E4EA8" w:rsidP="00F61DCD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678B7242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678B7246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678B7243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678B7244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678B7245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678B724A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678B7247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9E6A0D">
              <w:rPr>
                <w:rFonts w:cs="Arial"/>
                <w:szCs w:val="20"/>
              </w:rPr>
              <w:t>GRAND DAX TRÈS HAUT DÉBIT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678B7248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678B7249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678B724D" w14:textId="77777777" w:rsidR="001A7064" w:rsidRPr="00246A1F" w:rsidRDefault="001A7064" w:rsidP="001A7064"/>
    <w:p w14:paraId="678B724E" w14:textId="24842C0E" w:rsidR="001A7064" w:rsidRPr="00F61DCD" w:rsidRDefault="001A7064" w:rsidP="00F61DCD">
      <w:pPr>
        <w:pStyle w:val="Titre"/>
      </w:pPr>
      <w:r w:rsidRPr="00F61DCD">
        <w:t>pénalités pouvant être dues par l’Opérateur</w:t>
      </w:r>
    </w:p>
    <w:p w14:paraId="2A608CFA" w14:textId="77777777" w:rsidR="00F61DCD" w:rsidRPr="00F61DCD" w:rsidRDefault="00F61DCD" w:rsidP="00F61DCD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678B7250" w14:textId="1A53A9D6" w:rsidR="001A7064" w:rsidRPr="00143B5F" w:rsidRDefault="001A7064" w:rsidP="00F61DCD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678B7251" w14:textId="77777777" w:rsidR="001A7064" w:rsidRDefault="001A7064" w:rsidP="001A7064">
      <w:pPr>
        <w:pStyle w:val="Corpsdetexte"/>
      </w:pPr>
    </w:p>
    <w:p w14:paraId="678B7252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9E6A0D">
        <w:t>GRAND DAX TRÈS HAUT DÉBIT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678B7256" w14:textId="77777777" w:rsidTr="00D917BD">
        <w:tc>
          <w:tcPr>
            <w:tcW w:w="4608" w:type="dxa"/>
            <w:shd w:val="clear" w:color="auto" w:fill="auto"/>
          </w:tcPr>
          <w:p w14:paraId="678B725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678B7254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678B725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678B725A" w14:textId="77777777" w:rsidTr="00D917BD">
        <w:tc>
          <w:tcPr>
            <w:tcW w:w="4608" w:type="dxa"/>
            <w:shd w:val="clear" w:color="auto" w:fill="auto"/>
          </w:tcPr>
          <w:p w14:paraId="678B7257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678B7258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678B7259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678B725E" w14:textId="77777777" w:rsidTr="00D917BD">
        <w:tc>
          <w:tcPr>
            <w:tcW w:w="4608" w:type="dxa"/>
            <w:shd w:val="clear" w:color="auto" w:fill="auto"/>
          </w:tcPr>
          <w:p w14:paraId="678B725B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678B725C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678B725D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678B725F" w14:textId="77777777" w:rsidR="00E514E0" w:rsidRPr="00E735CF" w:rsidRDefault="00E514E0" w:rsidP="001A7064">
      <w:pPr>
        <w:pStyle w:val="Texte"/>
      </w:pPr>
    </w:p>
    <w:p w14:paraId="678B7260" w14:textId="7664DE14" w:rsidR="001A7064" w:rsidRDefault="00F61DCD" w:rsidP="00F61DCD">
      <w:pPr>
        <w:pStyle w:val="Titre2"/>
      </w:pPr>
      <w:r>
        <w:br w:type="page"/>
      </w:r>
      <w:r w:rsidR="001A7064" w:rsidRPr="00143B5F">
        <w:lastRenderedPageBreak/>
        <w:t>au titre des résiliations anticipées</w:t>
      </w:r>
      <w:r w:rsidR="001A7064">
        <w:t xml:space="preserve"> avant la date de mise </w:t>
      </w:r>
      <w:r w:rsidR="007A6598">
        <w:t>à</w:t>
      </w:r>
      <w:r w:rsidR="001B3702">
        <w:t xml:space="preserve"> disposition</w:t>
      </w:r>
      <w:r w:rsidR="001A7064"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678B7264" w14:textId="77777777" w:rsidTr="00D917BD">
        <w:tc>
          <w:tcPr>
            <w:tcW w:w="4608" w:type="dxa"/>
            <w:shd w:val="clear" w:color="auto" w:fill="auto"/>
          </w:tcPr>
          <w:p w14:paraId="678B726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678B726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678B726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678B7268" w14:textId="77777777" w:rsidTr="00D917BD">
        <w:tc>
          <w:tcPr>
            <w:tcW w:w="4608" w:type="dxa"/>
            <w:shd w:val="clear" w:color="auto" w:fill="auto"/>
            <w:vAlign w:val="center"/>
          </w:tcPr>
          <w:p w14:paraId="678B7265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678B7266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678B7267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678B726C" w14:textId="77777777" w:rsidTr="00D917BD">
        <w:tc>
          <w:tcPr>
            <w:tcW w:w="4608" w:type="dxa"/>
            <w:shd w:val="clear" w:color="auto" w:fill="auto"/>
            <w:vAlign w:val="center"/>
          </w:tcPr>
          <w:p w14:paraId="678B7269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678B726A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678B726B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  <w:bookmarkEnd w:id="10"/>
    </w:tbl>
    <w:p w14:paraId="003AA81F" w14:textId="4C7E6DD2" w:rsidR="00AB5A9F" w:rsidRDefault="00AB5A9F" w:rsidP="004E4EA8">
      <w:pPr>
        <w:keepNext/>
        <w:spacing w:before="240"/>
        <w:outlineLvl w:val="2"/>
        <w:rPr>
          <w:rFonts w:cs="Arial"/>
          <w:bCs/>
          <w:sz w:val="28"/>
          <w:szCs w:val="28"/>
        </w:rPr>
      </w:pPr>
    </w:p>
    <w:p w14:paraId="45D51104" w14:textId="77777777" w:rsidR="00F61DCD" w:rsidRPr="004E4EA8" w:rsidRDefault="00F61DCD" w:rsidP="00F61DCD">
      <w:pPr>
        <w:pStyle w:val="Titre2"/>
        <w:rPr>
          <w:sz w:val="24"/>
          <w:szCs w:val="26"/>
        </w:rPr>
      </w:pPr>
      <w:r w:rsidRPr="00686ACA">
        <w:t>au titre d’une commande non conforme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F61DCD" w:rsidRPr="004E4EA8" w14:paraId="39097D66" w14:textId="77777777" w:rsidTr="00AE0B46">
        <w:tc>
          <w:tcPr>
            <w:tcW w:w="4077" w:type="dxa"/>
            <w:shd w:val="clear" w:color="auto" w:fill="auto"/>
          </w:tcPr>
          <w:p w14:paraId="3E62D4BD" w14:textId="77777777" w:rsidR="00F61DCD" w:rsidRPr="004E4EA8" w:rsidRDefault="00F61DCD" w:rsidP="00AE0B46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708829AE" w14:textId="77777777" w:rsidR="00F61DCD" w:rsidRPr="004E4EA8" w:rsidRDefault="00F61DCD" w:rsidP="00AE0B46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32B3DBF1" w14:textId="77777777" w:rsidR="00F61DCD" w:rsidRPr="004E4EA8" w:rsidRDefault="00F61DCD" w:rsidP="00AE0B46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F61DCD" w:rsidRPr="004E4EA8" w14:paraId="49484E0F" w14:textId="77777777" w:rsidTr="00AE0B46">
        <w:tc>
          <w:tcPr>
            <w:tcW w:w="4077" w:type="dxa"/>
            <w:shd w:val="clear" w:color="auto" w:fill="auto"/>
          </w:tcPr>
          <w:p w14:paraId="3C1C8B85" w14:textId="77777777" w:rsidR="00F61DCD" w:rsidRPr="004E4EA8" w:rsidRDefault="00F61DCD" w:rsidP="00AE0B46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>
              <w:rPr>
                <w:rFonts w:cs="Arial"/>
                <w:szCs w:val="20"/>
              </w:rPr>
              <w:t>de GRAND DAX TRÈS HAUT DÉBIT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2E214283" w14:textId="77777777" w:rsidR="00F61DCD" w:rsidRPr="004E4EA8" w:rsidRDefault="00F61DCD" w:rsidP="00AE0B46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4D016339" w14:textId="77777777" w:rsidR="00F61DCD" w:rsidRPr="004E4EA8" w:rsidRDefault="00F61DCD" w:rsidP="00AE0B46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678B7277" w14:textId="39FCAA2C" w:rsidR="004E4EA8" w:rsidRDefault="004E4EA8" w:rsidP="00F61DCD">
      <w:pPr>
        <w:pStyle w:val="Titre2"/>
        <w:numPr>
          <w:ilvl w:val="0"/>
          <w:numId w:val="0"/>
        </w:numPr>
        <w:rPr>
          <w:szCs w:val="20"/>
        </w:rPr>
      </w:pPr>
    </w:p>
    <w:sectPr w:rsidR="004E4EA8" w:rsidSect="007A7C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3" w:right="1021" w:bottom="1418" w:left="907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B727B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678B727C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678B727D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B7280" w14:textId="77777777" w:rsidR="00D5602C" w:rsidRDefault="00D560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B7281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78B7282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678B7283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270BA9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270BA9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B7285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78B7286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B7278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678B7279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678B727A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B727E" w14:textId="77777777" w:rsidR="00D5602C" w:rsidRDefault="00D560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B727F" w14:textId="77777777" w:rsidR="00D5602C" w:rsidRDefault="00D5602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B7284" w14:textId="77777777" w:rsidR="00272FED" w:rsidRDefault="00270BA9" w:rsidP="00EB4DAE">
    <w:pPr>
      <w:pStyle w:val="En-tte"/>
      <w:tabs>
        <w:tab w:val="clear" w:pos="4536"/>
        <w:tab w:val="clear" w:pos="9072"/>
        <w:tab w:val="left" w:pos="1691"/>
      </w:tabs>
    </w:pPr>
    <w:r>
      <w:rPr>
        <w:noProof/>
      </w:rPr>
      <w:drawing>
        <wp:inline distT="0" distB="0" distL="0" distR="0" wp14:anchorId="678B7287" wp14:editId="678B7288">
          <wp:extent cx="1800225" cy="53903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nd da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982" cy="555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07B06E56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F4317"/>
    <w:multiLevelType w:val="hybridMultilevel"/>
    <w:tmpl w:val="4A1A3B70"/>
    <w:lvl w:ilvl="0" w:tplc="8DEAAAB4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0552312">
    <w:abstractNumId w:val="14"/>
  </w:num>
  <w:num w:numId="2" w16cid:durableId="1248882919">
    <w:abstractNumId w:val="12"/>
  </w:num>
  <w:num w:numId="3" w16cid:durableId="1049303052">
    <w:abstractNumId w:val="10"/>
  </w:num>
  <w:num w:numId="4" w16cid:durableId="2049835173">
    <w:abstractNumId w:val="22"/>
  </w:num>
  <w:num w:numId="5" w16cid:durableId="952706700">
    <w:abstractNumId w:val="23"/>
  </w:num>
  <w:num w:numId="6" w16cid:durableId="724524859">
    <w:abstractNumId w:val="19"/>
  </w:num>
  <w:num w:numId="7" w16cid:durableId="2075270109">
    <w:abstractNumId w:val="24"/>
  </w:num>
  <w:num w:numId="8" w16cid:durableId="1169903517">
    <w:abstractNumId w:val="17"/>
  </w:num>
  <w:num w:numId="9" w16cid:durableId="1036467845">
    <w:abstractNumId w:val="13"/>
  </w:num>
  <w:num w:numId="10" w16cid:durableId="339505101">
    <w:abstractNumId w:val="18"/>
  </w:num>
  <w:num w:numId="11" w16cid:durableId="1808206257">
    <w:abstractNumId w:val="11"/>
  </w:num>
  <w:num w:numId="12" w16cid:durableId="222177077">
    <w:abstractNumId w:val="7"/>
  </w:num>
  <w:num w:numId="13" w16cid:durableId="18314322">
    <w:abstractNumId w:val="8"/>
  </w:num>
  <w:num w:numId="14" w16cid:durableId="1280261557">
    <w:abstractNumId w:val="3"/>
  </w:num>
  <w:num w:numId="15" w16cid:durableId="1719668919">
    <w:abstractNumId w:val="2"/>
  </w:num>
  <w:num w:numId="16" w16cid:durableId="83036820">
    <w:abstractNumId w:val="1"/>
  </w:num>
  <w:num w:numId="17" w16cid:durableId="2034840393">
    <w:abstractNumId w:val="0"/>
  </w:num>
  <w:num w:numId="18" w16cid:durableId="1372419395">
    <w:abstractNumId w:val="6"/>
  </w:num>
  <w:num w:numId="19" w16cid:durableId="30305693">
    <w:abstractNumId w:val="5"/>
  </w:num>
  <w:num w:numId="20" w16cid:durableId="484321353">
    <w:abstractNumId w:val="4"/>
  </w:num>
  <w:num w:numId="21" w16cid:durableId="1461413145">
    <w:abstractNumId w:val="9"/>
  </w:num>
  <w:num w:numId="22" w16cid:durableId="1916472110">
    <w:abstractNumId w:val="21"/>
  </w:num>
  <w:num w:numId="23" w16cid:durableId="54668142">
    <w:abstractNumId w:val="16"/>
  </w:num>
  <w:num w:numId="24" w16cid:durableId="95641802">
    <w:abstractNumId w:val="15"/>
  </w:num>
  <w:num w:numId="25" w16cid:durableId="952127678">
    <w:abstractNumId w:val="20"/>
  </w:num>
  <w:num w:numId="26" w16cid:durableId="1346639700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529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0BA9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4D0B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8A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A0D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B5A9F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8A2"/>
    <w:rsid w:val="00D44C0C"/>
    <w:rsid w:val="00D45535"/>
    <w:rsid w:val="00D50390"/>
    <w:rsid w:val="00D50B12"/>
    <w:rsid w:val="00D51E13"/>
    <w:rsid w:val="00D541E3"/>
    <w:rsid w:val="00D556A1"/>
    <w:rsid w:val="00D55FA5"/>
    <w:rsid w:val="00D5602C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4184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1DCD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78B71CE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link w:val="Titre2Car"/>
    <w:autoRedefine/>
    <w:qFormat/>
    <w:rsid w:val="00F61DCD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F61DCD"/>
    <w:pPr>
      <w:keepNext/>
      <w:numPr>
        <w:ilvl w:val="2"/>
        <w:numId w:val="1"/>
      </w:numPr>
      <w:spacing w:before="120" w:after="12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F61DCD"/>
    <w:pPr>
      <w:numPr>
        <w:numId w:val="25"/>
      </w:numPr>
      <w:spacing w:before="240" w:after="240"/>
      <w:ind w:left="357" w:hanging="357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F61DCD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F61DCD"/>
    <w:rPr>
      <w:rFonts w:ascii="Helvetica 55 Roman" w:hAnsi="Helvetica 55 Roman" w:cs="Arial"/>
      <w:b/>
      <w:bCs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E9EDE532-7061-45D3-A853-CCF7C7D50EC8}"/>
</file>

<file path=customXml/itemProps2.xml><?xml version="1.0" encoding="utf-8"?>
<ds:datastoreItem xmlns:ds="http://schemas.openxmlformats.org/officeDocument/2006/customXml" ds:itemID="{D239D143-BEBE-49D7-9862-EF5E67CCD88A}"/>
</file>

<file path=customXml/itemProps3.xml><?xml version="1.0" encoding="utf-8"?>
<ds:datastoreItem xmlns:ds="http://schemas.openxmlformats.org/officeDocument/2006/customXml" ds:itemID="{105D6EF2-9DFC-4F51-A14F-491C174106A0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1095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2</cp:revision>
  <cp:lastPrinted>2017-03-27T10:57:00Z</cp:lastPrinted>
  <dcterms:created xsi:type="dcterms:W3CDTF">2022-12-20T15:37:00Z</dcterms:created>
  <dcterms:modified xsi:type="dcterms:W3CDTF">2022-12-20T15:37:00Z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